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712"/>
        <w:gridCol w:w="4544"/>
        <w:gridCol w:w="4796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29228C40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</w:p>
          <w:p w14:paraId="5D22713D" w14:textId="77777777" w:rsidR="00F27482" w:rsidRDefault="009F7D1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комплексной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BA0260" w:rsidRP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F27482"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содействию в размещении субъект</w:t>
            </w:r>
            <w:r w:rsid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F27482"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малого и среднего предпринимательства и (или) товара (работы, услуги) субъекта малого и среднего предпринимательства </w:t>
            </w:r>
          </w:p>
          <w:p w14:paraId="60EC16E9" w14:textId="41650FF8" w:rsidR="009F7D1A" w:rsidRDefault="00F27482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международных электронных торговых площадках</w:t>
            </w: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7D1A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№____</w:t>
            </w:r>
          </w:p>
          <w:p w14:paraId="36D1E07D" w14:textId="77777777" w:rsidR="00BA0260" w:rsidRP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66C798A6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C74AC4">
        <w:tc>
          <w:tcPr>
            <w:tcW w:w="1712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340" w:type="dxa"/>
            <w:gridSpan w:val="2"/>
          </w:tcPr>
          <w:p w14:paraId="3205CE85" w14:textId="11C47CF2" w:rsidR="009F7D1A" w:rsidRPr="009F7D1A" w:rsidRDefault="009F7D1A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координации поддержки </w:t>
            </w:r>
            <w:proofErr w:type="spellStart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малого и среднего предпринимательства Воронежской области», в лице директора </w:t>
            </w:r>
            <w:proofErr w:type="spellStart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Конкиной</w:t>
            </w:r>
            <w:proofErr w:type="spellEnd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Марины Алексеевны, действующей на основании Устава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>, с одной стороны,</w:t>
            </w:r>
          </w:p>
        </w:tc>
      </w:tr>
      <w:tr w:rsidR="009F7D1A" w:rsidRPr="009F7D1A" w14:paraId="5DDFD6BB" w14:textId="0D9BC62B" w:rsidTr="00C74AC4">
        <w:tc>
          <w:tcPr>
            <w:tcW w:w="1712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</w:tcBorders>
          </w:tcPr>
          <w:p w14:paraId="2ABACC73" w14:textId="77777777" w:rsidR="009F7D1A" w:rsidRDefault="00560F89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 в лице ____________________________, действующего на основании _____________________, с другой стороны,</w:t>
            </w:r>
          </w:p>
          <w:p w14:paraId="2C0E28E7" w14:textId="0A92545B" w:rsidR="00560F89" w:rsidRPr="009F7D1A" w:rsidRDefault="00560F89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C74AC4">
        <w:tc>
          <w:tcPr>
            <w:tcW w:w="171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0" w:type="dxa"/>
            <w:gridSpan w:val="2"/>
            <w:tcBorders>
              <w:left w:val="nil"/>
            </w:tcBorders>
          </w:tcPr>
          <w:p w14:paraId="1B962AB4" w14:textId="182ECD0F" w:rsidR="002E6F7D" w:rsidRDefault="002E6F7D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об оказании комплексной услуги </w:t>
            </w:r>
            <w:r w:rsidR="00485DCF" w:rsidRPr="00485DCF">
              <w:rPr>
                <w:rFonts w:ascii="Times New Roman" w:hAnsi="Times New Roman" w:cs="Times New Roman"/>
                <w:sz w:val="20"/>
                <w:szCs w:val="20"/>
              </w:rPr>
              <w:t>по содействию в поиске и подборе иностранного покупателя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Соглашение) о нижеследующем:</w:t>
            </w:r>
          </w:p>
        </w:tc>
      </w:tr>
      <w:tr w:rsidR="002E6F7D" w:rsidRPr="009F7D1A" w14:paraId="2ED6CD2F" w14:textId="63F340D6" w:rsidTr="00C74AC4">
        <w:trPr>
          <w:trHeight w:val="1400"/>
        </w:trPr>
        <w:tc>
          <w:tcPr>
            <w:tcW w:w="1712" w:type="dxa"/>
            <w:vAlign w:val="center"/>
          </w:tcPr>
          <w:p w14:paraId="6F3DBF0A" w14:textId="7E40AB74" w:rsidR="002E6F7D" w:rsidRPr="00710B31" w:rsidRDefault="002E6F7D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934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E4455A" w14:textId="52C3F9D0" w:rsidR="002E6F7D" w:rsidRPr="004F3FE0" w:rsidRDefault="002E6F7D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 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содействию в размещении субъект</w:t>
            </w:r>
            <w:r w:rsidR="00F27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2F4F6F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(далее – услуг</w:t>
            </w:r>
            <w:r w:rsidR="006525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FE275CA" w14:textId="6CBCBA75" w:rsidR="004F3FE0" w:rsidRDefault="004F3FE0" w:rsidP="004F3FE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случаев предусмотренных в приказе Минэкономразвития от 18.02.2021 г. №77 (рег. номер: 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>62918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объеме, не превышающем предельного значения, предусмотренного сметой на один субъект малого и среднего предпринимательства. </w:t>
            </w:r>
          </w:p>
          <w:p w14:paraId="060B4B81" w14:textId="31A841E6" w:rsidR="002E6F7D" w:rsidRPr="00465074" w:rsidRDefault="002E6F7D" w:rsidP="004F3FE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5074" w:rsidRPr="009F7D1A" w14:paraId="25BAC643" w14:textId="77777777" w:rsidTr="00C74AC4">
        <w:trPr>
          <w:trHeight w:val="1400"/>
        </w:trPr>
        <w:tc>
          <w:tcPr>
            <w:tcW w:w="1712" w:type="dxa"/>
            <w:vAlign w:val="center"/>
          </w:tcPr>
          <w:p w14:paraId="0BE32F4C" w14:textId="174EDB04" w:rsidR="00465074" w:rsidRDefault="00465074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Перечень услуг,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комплексную слугу</w:t>
            </w:r>
          </w:p>
        </w:tc>
        <w:tc>
          <w:tcPr>
            <w:tcW w:w="9340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B5F202" w14:textId="77777777" w:rsidR="00465074" w:rsidRP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Базовые услуги:</w:t>
            </w:r>
          </w:p>
          <w:p w14:paraId="564E1911" w14:textId="7DCF0C4D" w:rsidR="00F27482" w:rsidRDefault="00485DCF" w:rsidP="00F27482">
            <w:pPr>
              <w:pStyle w:val="a4"/>
              <w:numPr>
                <w:ilvl w:val="0"/>
                <w:numId w:val="7"/>
              </w:numPr>
              <w:tabs>
                <w:tab w:val="left" w:pos="164"/>
                <w:tab w:val="left" w:pos="456"/>
              </w:tabs>
              <w:ind w:left="5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подбор международной электронной торговой площадки для </w:t>
            </w:r>
            <w:r w:rsidR="00F27482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и (или) товара (работы, услуги) </w:t>
            </w:r>
            <w:r w:rsidR="00F27482">
              <w:rPr>
                <w:rFonts w:ascii="Times New Roman" w:hAnsi="Times New Roman" w:cs="Times New Roman"/>
                <w:sz w:val="20"/>
                <w:szCs w:val="20"/>
              </w:rPr>
              <w:t>Субъекта;</w:t>
            </w:r>
          </w:p>
          <w:p w14:paraId="27B7B7B0" w14:textId="2E84627E" w:rsidR="00F27482" w:rsidRDefault="00F27482" w:rsidP="00F27482">
            <w:pPr>
              <w:pStyle w:val="a4"/>
              <w:numPr>
                <w:ilvl w:val="0"/>
                <w:numId w:val="7"/>
              </w:numPr>
              <w:tabs>
                <w:tab w:val="left" w:pos="164"/>
                <w:tab w:val="left" w:pos="456"/>
              </w:tabs>
              <w:ind w:left="5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на международной электронной торговой площадке, в том числе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регистрации точки присутствия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C4D547" w14:textId="7800EB41" w:rsidR="00465074" w:rsidRPr="00F27482" w:rsidRDefault="00465074" w:rsidP="00F27482">
            <w:pPr>
              <w:tabs>
                <w:tab w:val="left" w:pos="164"/>
                <w:tab w:val="left" w:pos="456"/>
              </w:tabs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Дополнительные услуги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BFD49D7" w14:textId="0A18EFA1" w:rsidR="00465074" w:rsidRDefault="00F27482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адаптаци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и перевод информации, указанной на упаковке товара, других материалах, включая съемку продукта</w:t>
            </w:r>
            <w:r w:rsidR="00465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ADAB75" w14:textId="6B22093A" w:rsidR="00F27482" w:rsidRDefault="00F27482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разрешения),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от 18.02.2021 г. №77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83163E" w14:textId="1D6C2653" w:rsidR="00F27482" w:rsidRDefault="00F27482" w:rsidP="00465074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13.10.3.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от 18.02.2021 г. №77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8D6427" w14:textId="77777777" w:rsidR="00F27482" w:rsidRDefault="00F27482" w:rsidP="00F27482">
            <w:pPr>
              <w:pStyle w:val="a4"/>
              <w:numPr>
                <w:ilvl w:val="0"/>
                <w:numId w:val="8"/>
              </w:numPr>
              <w:tabs>
                <w:tab w:val="left" w:pos="164"/>
                <w:tab w:val="left" w:pos="4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размещении и хранении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временного хранения за рубежом не более 6 (шести) месяцев площадью не более 100 (ста) квадратных метров.</w:t>
            </w:r>
          </w:p>
          <w:p w14:paraId="259A2644" w14:textId="78CBABDE" w:rsidR="00DB08D2" w:rsidRPr="00F27482" w:rsidRDefault="00DB08D2" w:rsidP="00F27482">
            <w:pPr>
              <w:pStyle w:val="a4"/>
              <w:tabs>
                <w:tab w:val="left" w:pos="164"/>
                <w:tab w:val="left" w:pos="4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</w:tc>
      </w:tr>
      <w:tr w:rsidR="00386047" w:rsidRPr="009F7D1A" w14:paraId="64F469DC" w14:textId="77777777" w:rsidTr="00976226">
        <w:trPr>
          <w:trHeight w:val="992"/>
        </w:trPr>
        <w:tc>
          <w:tcPr>
            <w:tcW w:w="1712" w:type="dxa"/>
            <w:vAlign w:val="center"/>
          </w:tcPr>
          <w:p w14:paraId="56A65C02" w14:textId="38B348AD" w:rsidR="00386047" w:rsidRDefault="00386047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9340" w:type="dxa"/>
            <w:gridSpan w:val="2"/>
          </w:tcPr>
          <w:p w14:paraId="50E05AE1" w14:textId="77777777" w:rsidR="00386047" w:rsidRDefault="00386047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A7ADC7" w14:textId="77777777" w:rsidR="00485DCF" w:rsidRDefault="00386047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48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Базовые и дополнительные услуги, за исключением дополнительн</w:t>
            </w:r>
            <w:r w:rsidR="00485DC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485DC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47118E2" w14:textId="24FF375B" w:rsidR="00485DCF" w:rsidRDefault="00485DCF" w:rsidP="00485DCF">
            <w:pPr>
              <w:pStyle w:val="a4"/>
              <w:tabs>
                <w:tab w:val="left" w:pos="164"/>
                <w:tab w:val="left" w:pos="456"/>
              </w:tabs>
              <w:ind w:left="31" w:firstLine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673B28" w14:textId="14898462" w:rsidR="00485DCF" w:rsidRDefault="00485DCF" w:rsidP="00485DCF">
            <w:pPr>
              <w:pStyle w:val="a4"/>
              <w:tabs>
                <w:tab w:val="left" w:pos="164"/>
                <w:tab w:val="left" w:pos="456"/>
              </w:tabs>
              <w:ind w:left="31"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27482"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017BDE" w14:textId="64BECB55" w:rsidR="00386047" w:rsidRDefault="00386047" w:rsidP="00485DCF">
            <w:pPr>
              <w:pStyle w:val="a4"/>
              <w:tabs>
                <w:tab w:val="left" w:pos="164"/>
                <w:tab w:val="left" w:pos="456"/>
              </w:tabs>
              <w:ind w:left="31"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27">
              <w:rPr>
                <w:rFonts w:ascii="Times New Roman" w:hAnsi="Times New Roman"/>
                <w:sz w:val="20"/>
                <w:szCs w:val="20"/>
              </w:rPr>
              <w:t xml:space="preserve">предоставляются </w:t>
            </w:r>
            <w:r>
              <w:rPr>
                <w:rFonts w:ascii="Times New Roman" w:hAnsi="Times New Roman"/>
                <w:sz w:val="20"/>
                <w:szCs w:val="20"/>
              </w:rPr>
              <w:t>Субъекту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на безвозмездной основе.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B56DB" w14:textId="5842AC1C" w:rsidR="00386047" w:rsidRDefault="00485DCF" w:rsidP="00386047">
            <w:pPr>
              <w:pStyle w:val="a4"/>
              <w:tabs>
                <w:tab w:val="left" w:pos="164"/>
                <w:tab w:val="left" w:pos="456"/>
              </w:tabs>
              <w:ind w:left="31"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Поименованные в настоящем пункте услуги предоставляются Субъекту на частично платной основе </w:t>
            </w:r>
            <w:r w:rsidR="00C111AB">
              <w:rPr>
                <w:rFonts w:ascii="Times New Roman" w:hAnsi="Times New Roman"/>
                <w:sz w:val="20"/>
                <w:szCs w:val="20"/>
              </w:rPr>
              <w:t>в соответствии с п. 13.</w:t>
            </w:r>
            <w:r w:rsidR="00CD03FD">
              <w:rPr>
                <w:rFonts w:ascii="Times New Roman" w:hAnsi="Times New Roman"/>
                <w:sz w:val="20"/>
                <w:szCs w:val="20"/>
              </w:rPr>
              <w:t>8</w:t>
            </w:r>
            <w:r w:rsidR="00C111AB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  <w:r w:rsidR="00C111AB">
              <w:rPr>
                <w:rFonts w:ascii="Times New Roman" w:hAnsi="Times New Roman" w:cs="Times New Roman"/>
                <w:sz w:val="20"/>
                <w:szCs w:val="20"/>
              </w:rPr>
              <w:t>приказа Минэкономразвития от 18.02.2021 г. №77.</w:t>
            </w:r>
            <w:r w:rsidR="00C11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066235" w14:textId="4A39CE4E" w:rsidR="00652503" w:rsidRDefault="00652503" w:rsidP="00CD03FD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7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1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</w:t>
            </w:r>
            <w:r w:rsidR="0067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срок</w:t>
            </w:r>
            <w:r w:rsidRPr="00C11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оказания услуг</w:t>
            </w:r>
            <w:r w:rsidR="00CD0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F525691" w14:textId="40A5C3D7" w:rsidR="00671599" w:rsidRDefault="00CD03FD" w:rsidP="00CD03FD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7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 П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одбор международной электронной торговой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посредством прохождения Субъектом скоринга для определения </w:t>
            </w:r>
            <w:r w:rsidRPr="00CD03FD">
              <w:rPr>
                <w:rFonts w:ascii="Times New Roman" w:hAnsi="Times New Roman" w:cs="Times New Roman"/>
                <w:sz w:val="20"/>
                <w:szCs w:val="20"/>
              </w:rPr>
              <w:t>наиболее подходящих электронных торговых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="00671599">
              <w:rPr>
                <w:rFonts w:ascii="Times New Roman" w:hAnsi="Times New Roman" w:cs="Times New Roman"/>
                <w:sz w:val="20"/>
                <w:szCs w:val="20"/>
              </w:rPr>
              <w:t>результатам прохождения</w:t>
            </w:r>
            <w:r w:rsidR="00341D9A">
              <w:rPr>
                <w:rFonts w:ascii="Times New Roman" w:hAnsi="Times New Roman" w:cs="Times New Roman"/>
                <w:sz w:val="20"/>
                <w:szCs w:val="20"/>
              </w:rPr>
              <w:t xml:space="preserve"> скоринга</w:t>
            </w:r>
            <w:r w:rsidR="00671599">
              <w:rPr>
                <w:rFonts w:ascii="Times New Roman" w:hAnsi="Times New Roman" w:cs="Times New Roman"/>
                <w:sz w:val="20"/>
                <w:szCs w:val="20"/>
              </w:rPr>
              <w:t xml:space="preserve"> Субъект осуществляет выбор одной международной торговой площадки из списка предложенных и сообщает о своем выборе Центру.</w:t>
            </w:r>
          </w:p>
          <w:p w14:paraId="4ADE7980" w14:textId="5E42E29F" w:rsidR="00976226" w:rsidRDefault="00671599" w:rsidP="00CD03FD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3.2.2. </w:t>
            </w:r>
            <w:r w:rsidR="00976226">
              <w:rPr>
                <w:rFonts w:ascii="Times New Roman" w:hAnsi="Times New Roman" w:cs="Times New Roman"/>
                <w:sz w:val="20"/>
                <w:szCs w:val="20"/>
              </w:rPr>
              <w:t>Порядок, сроки и иные существенные условия р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 w:rsidR="009762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продвижени</w:t>
            </w:r>
            <w:r w:rsidR="0097622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на международной электронной торговой площадке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226">
              <w:rPr>
                <w:rFonts w:ascii="Times New Roman" w:hAnsi="Times New Roman" w:cs="Times New Roman"/>
                <w:sz w:val="20"/>
                <w:szCs w:val="20"/>
              </w:rPr>
              <w:t>указываются в трехстороннем договоре, заключаемом между Центром, Субъектом и специализированной организацией.</w:t>
            </w:r>
          </w:p>
          <w:p w14:paraId="5D28C637" w14:textId="3BF21DE0" w:rsidR="00976226" w:rsidRDefault="00976226" w:rsidP="00976226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3.2.3. В случае оказания Субъекту в рамках комплексной услуги дополнительных услуг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разделе 2 настоящего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Соглашения, 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сроки и иные существенные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таких услуг указываются в дополнительных соглашения</w:t>
            </w:r>
            <w:r w:rsidR="00341D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Соглашению 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трехсторонн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 Центром, Субъектом и специализированн</w:t>
            </w:r>
            <w:r w:rsidR="00341D9A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341D9A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24AC57" w14:textId="3DE18C3A" w:rsidR="007D482E" w:rsidRPr="00976226" w:rsidRDefault="007D482E" w:rsidP="00976226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между Сторонами составляется и подписывается акт об оказании услуг. В случае не направления Субъектом акта об оказании услуг в срок, установленный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Соглашения, услуги считаются оказанными в полном объеме и в установленный срок.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составление между Сторонами промежуточных актов об оказании услуг, подтверждающих оказанию Субъекту одной или нескольких услуг в рамках комплексной услуги.</w:t>
            </w:r>
          </w:p>
        </w:tc>
      </w:tr>
      <w:tr w:rsidR="00710B31" w:rsidRPr="009F7D1A" w14:paraId="33CD23AD" w14:textId="4D4595D7" w:rsidTr="00C74AC4">
        <w:trPr>
          <w:trHeight w:val="330"/>
        </w:trPr>
        <w:tc>
          <w:tcPr>
            <w:tcW w:w="1712" w:type="dxa"/>
            <w:vMerge w:val="restart"/>
            <w:vAlign w:val="center"/>
          </w:tcPr>
          <w:p w14:paraId="53937B22" w14:textId="038C53B2" w:rsidR="00710B31" w:rsidRPr="00710B31" w:rsidRDefault="00DD7450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="00710B31"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.Обязанности Сторон</w:t>
            </w:r>
          </w:p>
          <w:p w14:paraId="435F22F7" w14:textId="3E45550F" w:rsidR="00710B31" w:rsidRPr="00710B31" w:rsidRDefault="00710B31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0" w:type="dxa"/>
            <w:gridSpan w:val="2"/>
          </w:tcPr>
          <w:p w14:paraId="05477D93" w14:textId="77777777" w:rsidR="00BA6FE2" w:rsidRPr="00BA6FE2" w:rsidRDefault="00BA6FE2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A323EE0" w14:textId="2640213A" w:rsidR="00710B31" w:rsidRDefault="00DD7450" w:rsidP="00710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10B31"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Обязанности Субъекта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EE7D48" w14:textId="41FCCBBE" w:rsidR="00DD7450" w:rsidRDefault="00DD7450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 Своевременно предоставлять Центру сведения и информацию необходимую для надлежащего и своевременного оказания услуг в рамках настоящего Соглашения, а также незамедлительно информировать Центр об обстоятельствах препятствующих получению услуг.</w:t>
            </w:r>
          </w:p>
          <w:p w14:paraId="2BFB7EED" w14:textId="7F3339EC" w:rsidR="00BA6FE2" w:rsidRDefault="00BA6FE2" w:rsidP="004F3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 Назначить ответственное лицо за взаимодействие с Центром по вопросам реализации настоящего Соглашения и предоставлени</w:t>
            </w:r>
            <w:r w:rsidR="00C111A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документации.</w:t>
            </w:r>
          </w:p>
          <w:p w14:paraId="38F096B9" w14:textId="084E2001" w:rsidR="00BA6FE2" w:rsidRDefault="00BA6FE2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4.1.4. После окончания </w:t>
            </w:r>
            <w:r w:rsidR="00C111AB"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, а также своевременно предоставлять по запросу Центра отчёт</w:t>
            </w:r>
            <w:r w:rsidR="009B0721" w:rsidRPr="009B0721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размещения товаров на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электронной</w:t>
            </w:r>
            <w:r w:rsidR="009B0721" w:rsidRPr="009B0721">
              <w:rPr>
                <w:rFonts w:ascii="Times New Roman" w:hAnsi="Times New Roman" w:cs="Times New Roman"/>
                <w:sz w:val="20"/>
                <w:szCs w:val="20"/>
              </w:rPr>
              <w:t xml:space="preserve"> площадке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DFAB06" w14:textId="555C7B64" w:rsidR="00DD7450" w:rsidRDefault="00BA6FE2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4.1.5. П</w:t>
            </w:r>
            <w:r w:rsidRPr="00BA6FE2">
              <w:rPr>
                <w:rFonts w:ascii="Times New Roman" w:hAnsi="Times New Roman"/>
                <w:sz w:val="20"/>
                <w:szCs w:val="20"/>
              </w:rPr>
              <w:t xml:space="preserve">редоставлять в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BA6FE2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192345F" w14:textId="57F67DAC" w:rsidR="00710B31" w:rsidRPr="00BA6FE2" w:rsidRDefault="00710B31" w:rsidP="00710B3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6A454502" w14:textId="77777777" w:rsidTr="00C74AC4">
        <w:trPr>
          <w:trHeight w:val="345"/>
        </w:trPr>
        <w:tc>
          <w:tcPr>
            <w:tcW w:w="1712" w:type="dxa"/>
            <w:vMerge/>
          </w:tcPr>
          <w:p w14:paraId="20BFBE2F" w14:textId="77777777" w:rsidR="00710B31" w:rsidRPr="00710B31" w:rsidRDefault="00710B31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0" w:type="dxa"/>
            <w:gridSpan w:val="2"/>
          </w:tcPr>
          <w:p w14:paraId="17B3BFC0" w14:textId="77777777" w:rsidR="00C74AC4" w:rsidRPr="00C74AC4" w:rsidRDefault="00C74AC4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09D3A6" w14:textId="0593F1E6" w:rsidR="00710B31" w:rsidRDefault="00C74AC4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10B31"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Обязанности Центра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70DDA9" w14:textId="77777777" w:rsidR="00710B31" w:rsidRDefault="00C74AC4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 xml:space="preserve">.2.1. </w:t>
            </w:r>
            <w:r w:rsidR="00710B31"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Центр вправе запросить у Субъекта информацию, которая необходима Центру для надлежащего оказания услуг, предусмотренных в пункте 1.1. 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710B31"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44F84B" w14:textId="77777777" w:rsidR="00E57D82" w:rsidRDefault="00C74AC4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 Оказывать услуги, предусмотренные настоящим Соглашением надлежащего качества и в предусмотренные сроки. Услуги невыбранные Субъектом на момент заключения настоящего Соглашения и не отмеченные в разделе 2 Центром не оказываются.</w:t>
            </w:r>
          </w:p>
          <w:p w14:paraId="0204A65E" w14:textId="64E32029" w:rsidR="00C74AC4" w:rsidRDefault="00E57D82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4.2.3. Обеспечить конфиденциальность сведений, предоставляемых Субъектом в соответствии с п. 4.1.5 настоящего Соглашение 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все необходимые меры, направленные на предотвращение доступа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онфиденциальной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нформации со стороны любых третьих лиц, за исключением случаев, когда иное предусмотрено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Исключение составляет также передача указанных сведений органам государственной власти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Воронежской области, а также АО «Российский экспортный центр»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, в рамках уставной деятельности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76EFD82E" w14:textId="19C3A7AF" w:rsidR="00C74AC4" w:rsidRPr="00C74AC4" w:rsidRDefault="00C74AC4" w:rsidP="0001579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35A7A8E2" w14:textId="77777777" w:rsidTr="00C74AC4">
        <w:trPr>
          <w:trHeight w:val="345"/>
        </w:trPr>
        <w:tc>
          <w:tcPr>
            <w:tcW w:w="1712" w:type="dxa"/>
            <w:vAlign w:val="center"/>
          </w:tcPr>
          <w:p w14:paraId="40DCF5E0" w14:textId="48ED8933" w:rsidR="00710B31" w:rsidRPr="00710B31" w:rsidRDefault="00C74AC4" w:rsidP="00363506">
            <w:pPr>
              <w:tabs>
                <w:tab w:val="left" w:pos="589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6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Прочие условия </w:t>
            </w:r>
            <w:r w:rsidR="004C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</w:tcBorders>
          </w:tcPr>
          <w:p w14:paraId="3F13DC1F" w14:textId="77777777" w:rsidR="00C85A48" w:rsidRPr="00C85A48" w:rsidRDefault="00C85A48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B0D735B" w14:textId="3DB40AEC" w:rsidR="00710B31" w:rsidRDefault="00C74AC4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5EC5"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Ответственность Сторон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E2606B" w14:textId="6F1D7680" w:rsidR="004C5EC5" w:rsidRDefault="00C74AC4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.1.1.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Если одна из Сторон не выполнит или выполнит ненадлежащим образом какое-либо из принятых по настоящему </w:t>
            </w:r>
            <w:r w:rsidR="00D143F4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обязательств, то она несет за это ответственность, предусмотренную действующим законодательством Российской Федерации. Меры ответственности Сторон, не предусмотренные в настоящем Соглашении, применяются в соответствии с нормами гражданского законодательства Российской Федерации.</w:t>
            </w:r>
          </w:p>
          <w:p w14:paraId="20C0B6DF" w14:textId="41938DAD" w:rsidR="004C5EC5" w:rsidRDefault="00C74AC4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.1.2.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73A9E679" w14:textId="2F753D63" w:rsidR="004C5EC5" w:rsidRDefault="00C74AC4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В случае нарушения Субъектом условий настоящего Соглашения, в том числе при нарушении сроков предоставления документов Центр вправе расторгнуть настоящее Соглашение в одностороннем порядке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, Субъект считается отказавшимся от получения услуг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48E577" w14:textId="6E0150FE" w:rsidR="00C74AC4" w:rsidRDefault="00C85A48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 В случае одностороннего отказа Субъекта от получения услуг Субъект осуществляет возмещение документально подтвержденных затрат Центра на организацию оказания услуг в рамках настоящего Соглашения в течение 30 (тридцати) календарных дней с даты получения соответствующего мотивированного требования от Центра.</w:t>
            </w:r>
          </w:p>
          <w:p w14:paraId="4A5F92BB" w14:textId="62809C1A" w:rsidR="004C5EC5" w:rsidRDefault="00D73933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D89572" w14:textId="438D13F6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  <w:p w14:paraId="7AADBBD6" w14:textId="4947B5DB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5EC5" w:rsidRPr="00D7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Срок действия и расторжение Соглашения, порядок разрешения споров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5298EB" w14:textId="4514ECF8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.2.1.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подписания Сторонами и действует до момента полного выполнения Сторонами своих обязательств в соответствии с условиями настоящего Соглашения.</w:t>
            </w:r>
          </w:p>
          <w:p w14:paraId="47658B52" w14:textId="655CE129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.2.2.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Расторжение настоящего 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оглашения допускается исключительно в порядке, установленном п. 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иных случаях по соглашению Сторон или решению суда по основаниям, предусмотренным гражданским законодательством РФ.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57A300" w14:textId="45324387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.2.3.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Все споры и разногласия, которые могут возникнуть в связи с выполнением настоящего Соглашения, Стороны разрешают путем переговоров. В случае если согласие не будет достигнуто путем переговоров, споры между Сторонами разрешаются в претензионном порядке. Претензия направляется Стороне с приложением документов, подтверждающих заявленные требования. Претензия рассматривается Стороной в течение 3 (трех) 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дней, с даты ее получения. В случае если согласие не будет достигнуто в досудебном претензионном порядке, споры между Сторонами будут переданы на рассмотрение в Арбитражный суд Воронежской области.</w:t>
            </w:r>
          </w:p>
          <w:p w14:paraId="64F26A85" w14:textId="4AE21CBE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5EC5" w:rsidRPr="00E57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 Заключительные положения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E50FA9" w14:textId="3735111E" w:rsidR="004C5EC5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.3.1.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7316B7C2" w14:textId="36229356" w:rsidR="0086491F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.3.2. Субъект дает согласие на передачу сведений, предоставляемых в рамках настоящего Соглашения, третьим лицам, а также в иных случаях в рамках уставной деятельности Центра.  </w:t>
            </w:r>
          </w:p>
          <w:p w14:paraId="4D92A4F7" w14:textId="799FD13F" w:rsidR="00363506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77D15B47" w14:textId="315DEEC2" w:rsidR="00363506" w:rsidRDefault="00620D9F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C74AC4">
        <w:trPr>
          <w:trHeight w:val="240"/>
        </w:trPr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600843A4" w:rsidR="00363506" w:rsidRDefault="00620D9F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363506" w:rsidRPr="009F7D1A" w14:paraId="7948C0C3" w14:textId="77777777" w:rsidTr="00C74AC4">
        <w:trPr>
          <w:trHeight w:val="435"/>
        </w:trPr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363506" w:rsidRDefault="00363506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96D" w14:textId="77777777" w:rsidR="00375FA9" w:rsidRPr="009E2D46" w:rsidRDefault="00375FA9" w:rsidP="0037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D46"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F2F24D0" w14:textId="77777777" w:rsidR="00375FA9" w:rsidRPr="009E2D46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7EA444EE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7EF56AF3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814DC4C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354185D" w14:textId="117FA8EA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Лицевой счет №41829Н80545, открытый в ДФ</w:t>
            </w:r>
            <w:r w:rsidRPr="00375FA9">
              <w:rPr>
                <w:rFonts w:ascii="Times New Roman" w:hAnsi="Times New Roman"/>
                <w:color w:val="FFFFFF" w:themeColor="background1"/>
                <w:sz w:val="4"/>
                <w:szCs w:val="4"/>
                <w:lang w:bidi="ru-RU"/>
              </w:rPr>
              <w:t>1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ВО </w:t>
            </w:r>
          </w:p>
          <w:p w14:paraId="0C378FF0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Единый казначейский счет №40102810945370000023, открытый в Отделении Воронеж Банка России // УФК по Воронежской области г. Воронеж </w:t>
            </w:r>
          </w:p>
          <w:p w14:paraId="4A99B018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БИК 012007084</w:t>
            </w:r>
          </w:p>
          <w:p w14:paraId="0505749F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Казначейский счет 03225643200000003100</w:t>
            </w:r>
          </w:p>
          <w:p w14:paraId="3D579A74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64CD31CD" w14:textId="77777777" w:rsidR="00375FA9" w:rsidRPr="001976EF" w:rsidRDefault="00375FA9" w:rsidP="00375FA9">
            <w:pP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proofErr w:type="spellStart"/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mail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export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36@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yandex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ru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2EFC6143" w14:textId="77777777" w:rsidR="00375FA9" w:rsidRPr="001976EF" w:rsidRDefault="00375FA9" w:rsidP="00375FA9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32C0E60" w14:textId="77777777" w:rsidR="00375FA9" w:rsidRPr="001976EF" w:rsidRDefault="00375FA9" w:rsidP="00375FA9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6C3033D7" w14:textId="77777777" w:rsidR="00375FA9" w:rsidRPr="001976EF" w:rsidRDefault="00375FA9" w:rsidP="00375FA9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Директор:</w:t>
            </w:r>
          </w:p>
          <w:p w14:paraId="1041BD70" w14:textId="77777777" w:rsidR="00375FA9" w:rsidRPr="001976EF" w:rsidRDefault="00375FA9" w:rsidP="00375FA9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</w:pPr>
          </w:p>
          <w:p w14:paraId="450D2EC1" w14:textId="77777777" w:rsidR="00375FA9" w:rsidRPr="001976EF" w:rsidRDefault="00375FA9" w:rsidP="00375FA9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/М.А. Конкина/</w:t>
            </w:r>
          </w:p>
          <w:p w14:paraId="08BF9334" w14:textId="697FDD1E" w:rsidR="00363506" w:rsidRPr="00375FA9" w:rsidRDefault="00375FA9" w:rsidP="00375FA9">
            <w:pPr>
              <w:jc w:val="both"/>
              <w:rPr>
                <w:color w:val="000000"/>
                <w:sz w:val="20"/>
                <w:szCs w:val="20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  <w:r w:rsidRPr="009E2D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3741E080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14:paraId="754E560E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банк_______________________________</w:t>
            </w:r>
          </w:p>
          <w:p w14:paraId="594842D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14:paraId="4438C703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БИК _______________________________</w:t>
            </w:r>
          </w:p>
          <w:p w14:paraId="51378B91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1BEF71CB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4285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95BA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54FF7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072AC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D4A1E" w14:textId="57C999DC" w:rsidR="00363506" w:rsidRPr="00363506" w:rsidRDefault="006C02AC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694144C7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__________________/ _______________/</w:t>
            </w:r>
          </w:p>
          <w:p w14:paraId="387EF34E" w14:textId="5F47A19E" w:rsid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3AB91289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82268"/>
            <w:bookmarkStart w:id="1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03CA557F" w:rsidR="002F4F6F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_______2021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77777777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2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2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693F8139" w14:textId="77777777" w:rsidR="003E6EA5" w:rsidRDefault="003E6EA5" w:rsidP="003E6EA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421" w:type="dxa"/>
        <w:tblLook w:val="04A0" w:firstRow="1" w:lastRow="0" w:firstColumn="1" w:lastColumn="0" w:noHBand="0" w:noVBand="1"/>
      </w:tblPr>
      <w:tblGrid>
        <w:gridCol w:w="15876"/>
      </w:tblGrid>
      <w:tr w:rsidR="009B0721" w14:paraId="245F5355" w14:textId="77777777" w:rsidTr="007D482E">
        <w:trPr>
          <w:trHeight w:val="9461"/>
        </w:trPr>
        <w:tc>
          <w:tcPr>
            <w:tcW w:w="15876" w:type="dxa"/>
          </w:tcPr>
          <w:p w14:paraId="566DC1F5" w14:textId="5397D864" w:rsidR="009B0721" w:rsidRPr="006C02AC" w:rsidRDefault="009B0721" w:rsidP="009B07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B6B410" w14:textId="77777777" w:rsidR="009B0721" w:rsidRPr="006C02AC" w:rsidRDefault="009B0721" w:rsidP="009B0721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72FD2E3" w14:textId="77777777" w:rsidR="009B0721" w:rsidRDefault="009B0721" w:rsidP="009B07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249D741" w14:textId="77777777" w:rsidR="009B0721" w:rsidRDefault="009B0721" w:rsidP="009B07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A639FAF" w14:textId="77777777" w:rsidR="009B0721" w:rsidRPr="00363506" w:rsidRDefault="009B0721" w:rsidP="009B072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447C1F28" w14:textId="77777777" w:rsidR="009B0721" w:rsidRDefault="009B0721" w:rsidP="009B07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4147A" w14:textId="746AD241" w:rsidR="009B0721" w:rsidRDefault="009B0721" w:rsidP="009B072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Отчёт о результатах размещения товаров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международной электронной площадке</w:t>
            </w:r>
          </w:p>
          <w:p w14:paraId="45526915" w14:textId="77777777" w:rsidR="009B0721" w:rsidRDefault="009B0721" w:rsidP="009B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5190" w:type="dxa"/>
              <w:tblLook w:val="04A0" w:firstRow="1" w:lastRow="0" w:firstColumn="1" w:lastColumn="0" w:noHBand="0" w:noVBand="1"/>
            </w:tblPr>
            <w:tblGrid>
              <w:gridCol w:w="441"/>
              <w:gridCol w:w="1795"/>
              <w:gridCol w:w="1731"/>
              <w:gridCol w:w="820"/>
              <w:gridCol w:w="2148"/>
              <w:gridCol w:w="2226"/>
              <w:gridCol w:w="2829"/>
              <w:gridCol w:w="3200"/>
            </w:tblGrid>
            <w:tr w:rsidR="009B0721" w14:paraId="44AE6209" w14:textId="77777777" w:rsidTr="009B0721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61F87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429CC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47A4F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504A4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Код ТН ВЭД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FB62E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Ссылка на страницу с размещенным товаром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D022A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Количество транзакций (продаж) с момента размещения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8DE0D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Общая стоимость реализованных товаров за последний календарный месяц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B5590" w14:textId="77777777" w:rsidR="009B0721" w:rsidRDefault="009B0721" w:rsidP="009B0721">
                  <w:pPr>
                    <w:ind w:hanging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Общая стоимость реализованных товаров с момента размещения товаров</w:t>
                  </w:r>
                </w:p>
              </w:tc>
            </w:tr>
            <w:tr w:rsidR="009B0721" w14:paraId="73E57AE1" w14:textId="77777777" w:rsidTr="009B0721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BC3F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B9F1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3289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7F64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E266C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4EA41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BA479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155CE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0721" w14:paraId="354DD38A" w14:textId="77777777" w:rsidTr="009B0721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7FFAD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86617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5CD1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9D50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C24E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05AD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6816E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05305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0721" w14:paraId="590E6E82" w14:textId="77777777" w:rsidTr="009B0721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1E1E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5153B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31FB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630D8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8CF6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7F94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30BCF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8E322" w14:textId="77777777" w:rsidR="009B0721" w:rsidRDefault="009B0721" w:rsidP="009B0721">
                  <w:pPr>
                    <w:suppressAutoHyphens/>
                    <w:ind w:leftChars="-1" w:hangingChars="1"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B2654B" w14:textId="77777777" w:rsidR="009B0721" w:rsidRDefault="009B0721" w:rsidP="009B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AF95" w14:textId="77777777" w:rsidR="009B0721" w:rsidRDefault="009B0721" w:rsidP="009B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заполнение лицо (ФИО, 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8CFE84B" w14:textId="4110EF50" w:rsidR="009B0721" w:rsidRDefault="009B0721" w:rsidP="003E6EA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B8E3" w14:textId="0CF6BABA" w:rsidR="009B0721" w:rsidRDefault="009B0721" w:rsidP="003E6EA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3860" w14:textId="70F43A6C" w:rsidR="009B0721" w:rsidRPr="009B0721" w:rsidRDefault="009B0721" w:rsidP="003E6EA5">
            <w:pPr>
              <w:tabs>
                <w:tab w:val="left" w:pos="298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9B07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отчету </w:t>
            </w:r>
            <w:r w:rsidRPr="009B07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результатах размещения товаров на международной электронной площадке</w:t>
            </w:r>
            <w:r w:rsidRPr="009B07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прикладываются заверенные копии снимков экрана (скриншотов) точки присутствия Субъекта на торговой площадке, подтверждающих проведение сделки.</w:t>
            </w:r>
          </w:p>
          <w:p w14:paraId="68551DA6" w14:textId="1AF1C99A" w:rsidR="009B0721" w:rsidRDefault="009B0721" w:rsidP="003E6EA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A23ED" w14:textId="12A89A98" w:rsidR="003E6EA5" w:rsidRDefault="003E6EA5" w:rsidP="003E6EA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p w14:paraId="40AC54E2" w14:textId="1A12932D" w:rsidR="003E6EA5" w:rsidRP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RPr="003E6EA5" w:rsidSect="009B0721">
          <w:pgSz w:w="16838" w:h="11906" w:orient="landscape"/>
          <w:pgMar w:top="284" w:right="284" w:bottom="282" w:left="142" w:header="708" w:footer="132" w:gutter="0"/>
          <w:cols w:space="708"/>
          <w:docGrid w:linePitch="360"/>
        </w:sect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14:paraId="73BD205B" w14:textId="153F4D23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089AAF07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1F6F8DA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372973D0" w:rsidR="00560F89" w:rsidRDefault="00560F89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координации поддержки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малого и среднего предпринимательства Воронежской области», в лице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Марины Алексеевны, действующей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627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8D2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622" w14:textId="55A162B0" w:rsidR="00892B62" w:rsidRDefault="00560F89" w:rsidP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оказал Субъекту </w:t>
            </w:r>
            <w:r w:rsidR="00DB08D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DB08D2"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 </w:t>
            </w:r>
            <w:r w:rsidR="00C85A48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D482E" w:rsidRPr="00F27482">
              <w:rPr>
                <w:rFonts w:ascii="Times New Roman" w:hAnsi="Times New Roman" w:cs="Times New Roman"/>
                <w:sz w:val="20"/>
                <w:szCs w:val="20"/>
              </w:rPr>
              <w:t>содействию в размещении субъект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82E" w:rsidRPr="00F27482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  <w:r w:rsidR="00C85A48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A48"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="00C85A48" w:rsidRPr="004F3FE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C85A48" w:rsidRPr="004F3F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DB08D2">
              <w:rPr>
                <w:rFonts w:ascii="Times New Roman" w:hAnsi="Times New Roman" w:cs="Times New Roman"/>
                <w:sz w:val="20"/>
                <w:szCs w:val="20"/>
              </w:rPr>
              <w:t xml:space="preserve"> и Соглашением от «___»________________ №____.</w:t>
            </w:r>
          </w:p>
          <w:p w14:paraId="3C6576A2" w14:textId="77777777" w:rsidR="00AE09AD" w:rsidRPr="00AE09AD" w:rsidRDefault="00AE09AD" w:rsidP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4A86D3" w14:textId="2D38C03D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73A434FA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D77D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0A4" w14:textId="20D00A72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Услуги указанные в п. 1. настоящего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</w:t>
            </w:r>
            <w:r w:rsidR="00AB64A4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Субъекту </w:t>
            </w:r>
            <w:r w:rsidR="00DB08D2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C85A48">
              <w:rPr>
                <w:rFonts w:ascii="Times New Roman" w:hAnsi="Times New Roman" w:cs="Times New Roman"/>
                <w:sz w:val="20"/>
                <w:szCs w:val="20"/>
              </w:rPr>
              <w:t xml:space="preserve"> разделом 3</w:t>
            </w:r>
            <w:r w:rsidR="00DB08D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от «__</w:t>
            </w:r>
            <w:proofErr w:type="gramStart"/>
            <w:r w:rsidR="00DB08D2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DB08D2">
              <w:rPr>
                <w:rFonts w:ascii="Times New Roman" w:hAnsi="Times New Roman" w:cs="Times New Roman"/>
                <w:sz w:val="20"/>
                <w:szCs w:val="20"/>
              </w:rPr>
              <w:t>____________ №_____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2D7D18" w14:textId="77777777" w:rsidR="00C85A48" w:rsidRPr="00C85A48" w:rsidRDefault="00C85A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5BD8BAD" w14:textId="4DE81A74" w:rsidR="00DB08D2" w:rsidRPr="00DB08D2" w:rsidRDefault="00DB08D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28515B07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соглашения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96C" w14:textId="77777777" w:rsidR="00DB08D2" w:rsidRPr="009E2D46" w:rsidRDefault="00DB08D2" w:rsidP="00DB08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D46"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579E5E6" w14:textId="77777777" w:rsidR="00DB08D2" w:rsidRPr="009E2D46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10759774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0A3FEA07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5101BA73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A5AB88D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Лицевой счет №41829Н80545, открытый в ДФ</w:t>
            </w:r>
            <w:r w:rsidRPr="00375FA9">
              <w:rPr>
                <w:rFonts w:ascii="Times New Roman" w:hAnsi="Times New Roman"/>
                <w:color w:val="FFFFFF" w:themeColor="background1"/>
                <w:sz w:val="4"/>
                <w:szCs w:val="4"/>
                <w:lang w:bidi="ru-RU"/>
              </w:rPr>
              <w:t>1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ВО </w:t>
            </w:r>
          </w:p>
          <w:p w14:paraId="1566CCD8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Единый казначейский счет №40102810945370000023, открытый в Отделении Воронеж Банка России // УФК по Воронежской области г. Воронеж </w:t>
            </w:r>
          </w:p>
          <w:p w14:paraId="23CD4938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БИК 012007084</w:t>
            </w:r>
          </w:p>
          <w:p w14:paraId="157EBF84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Казначейский счет 03225643200000003100</w:t>
            </w:r>
          </w:p>
          <w:p w14:paraId="3A85DA15" w14:textId="77777777" w:rsidR="00DB08D2" w:rsidRPr="001976EF" w:rsidRDefault="00DB08D2" w:rsidP="00DB08D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C0C3B22" w14:textId="77777777" w:rsidR="00DB08D2" w:rsidRPr="001976EF" w:rsidRDefault="00DB08D2" w:rsidP="00DB08D2">
            <w:pP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proofErr w:type="spellStart"/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mail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export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36@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yandex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ru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3C456995" w14:textId="77777777" w:rsidR="00DB08D2" w:rsidRPr="001976EF" w:rsidRDefault="00DB08D2" w:rsidP="00DB08D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DF057FD" w14:textId="77777777" w:rsidR="00DB08D2" w:rsidRPr="001976EF" w:rsidRDefault="00DB08D2" w:rsidP="00DB08D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86C5D1A" w14:textId="77777777" w:rsidR="00DB08D2" w:rsidRPr="001976EF" w:rsidRDefault="00DB08D2" w:rsidP="00DB08D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Директор:</w:t>
            </w:r>
          </w:p>
          <w:p w14:paraId="103C8045" w14:textId="77777777" w:rsidR="00DB08D2" w:rsidRPr="001976EF" w:rsidRDefault="00DB08D2" w:rsidP="00DB08D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</w:pPr>
          </w:p>
          <w:p w14:paraId="7C119807" w14:textId="77777777" w:rsidR="00DB08D2" w:rsidRPr="001976EF" w:rsidRDefault="00DB08D2" w:rsidP="00DB08D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/М.А. Конкина/</w:t>
            </w:r>
          </w:p>
          <w:p w14:paraId="2CBB6A54" w14:textId="4A0230E4" w:rsidR="009D638B" w:rsidRDefault="00DB08D2" w:rsidP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35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EFA2E8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F34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3C37D46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44DBEC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14:paraId="44165538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банк___________________________</w:t>
            </w:r>
          </w:p>
          <w:p w14:paraId="27D02C86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14:paraId="7848C8B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</w:t>
            </w:r>
          </w:p>
          <w:p w14:paraId="1B495C51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686753A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5F024C9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764246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89962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2A3B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91F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B27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12F88" w14:textId="4F767956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2DA950F2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13E7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33F19078" w14:textId="4C6F636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4C43F5B" w14:textId="37BF6B23" w:rsidR="00560F89" w:rsidRPr="00363506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60F89" w:rsidRPr="00363506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2C0A31"/>
    <w:rsid w:val="002C472B"/>
    <w:rsid w:val="002E6F7D"/>
    <w:rsid w:val="002F4F6F"/>
    <w:rsid w:val="00305185"/>
    <w:rsid w:val="00341D9A"/>
    <w:rsid w:val="00363506"/>
    <w:rsid w:val="00375FA9"/>
    <w:rsid w:val="00386047"/>
    <w:rsid w:val="003E6EA5"/>
    <w:rsid w:val="004128B9"/>
    <w:rsid w:val="00465074"/>
    <w:rsid w:val="00485DCF"/>
    <w:rsid w:val="004B77EB"/>
    <w:rsid w:val="004C5EC5"/>
    <w:rsid w:val="004F3FE0"/>
    <w:rsid w:val="00524A61"/>
    <w:rsid w:val="005470BD"/>
    <w:rsid w:val="00560F89"/>
    <w:rsid w:val="00620D9F"/>
    <w:rsid w:val="00652503"/>
    <w:rsid w:val="00671599"/>
    <w:rsid w:val="006C02AC"/>
    <w:rsid w:val="00710B31"/>
    <w:rsid w:val="007B2A9B"/>
    <w:rsid w:val="007D482E"/>
    <w:rsid w:val="00854020"/>
    <w:rsid w:val="0086491F"/>
    <w:rsid w:val="00892B62"/>
    <w:rsid w:val="008F575D"/>
    <w:rsid w:val="008F6BB6"/>
    <w:rsid w:val="00976226"/>
    <w:rsid w:val="009B0721"/>
    <w:rsid w:val="009B73AD"/>
    <w:rsid w:val="009D638B"/>
    <w:rsid w:val="009F7D1A"/>
    <w:rsid w:val="00A2719F"/>
    <w:rsid w:val="00AB64A4"/>
    <w:rsid w:val="00AD4F3B"/>
    <w:rsid w:val="00AE09AD"/>
    <w:rsid w:val="00BA0260"/>
    <w:rsid w:val="00BA6FE2"/>
    <w:rsid w:val="00C111AB"/>
    <w:rsid w:val="00C63E3B"/>
    <w:rsid w:val="00C74AC4"/>
    <w:rsid w:val="00C85A48"/>
    <w:rsid w:val="00CC42DF"/>
    <w:rsid w:val="00CD03FD"/>
    <w:rsid w:val="00D143F4"/>
    <w:rsid w:val="00D73933"/>
    <w:rsid w:val="00DB08D2"/>
    <w:rsid w:val="00DD7450"/>
    <w:rsid w:val="00E57D82"/>
    <w:rsid w:val="00E65D34"/>
    <w:rsid w:val="00E76DCD"/>
    <w:rsid w:val="00F27482"/>
    <w:rsid w:val="00F824EB"/>
    <w:rsid w:val="00F938AF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Дмитрий И. Кобзарев</cp:lastModifiedBy>
  <cp:revision>23</cp:revision>
  <cp:lastPrinted>2021-05-14T09:36:00Z</cp:lastPrinted>
  <dcterms:created xsi:type="dcterms:W3CDTF">2020-12-24T08:15:00Z</dcterms:created>
  <dcterms:modified xsi:type="dcterms:W3CDTF">2021-05-14T09:59:00Z</dcterms:modified>
</cp:coreProperties>
</file>